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FCA52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 独立性检验</w:t>
      </w:r>
    </w:p>
    <w:p w14:paraId="35414FD5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3.1 独立性检验+3.2 独立性检验的基本思想+3.3 独立性检验的应用</w:t>
      </w:r>
    </w:p>
    <w:p w14:paraId="25A06005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1.设A,B为两个变量，每一个变量都可以取两个值</w:t>
      </w:r>
      <w:bookmarkStart w:id="0" w:name="_GoBack"/>
      <w:bookmarkEnd w:id="0"/>
      <w:r>
        <w:rPr>
          <w:rFonts w:hint="eastAsia" w:ascii="Calibri" w:hAnsi="Calibri" w:eastAsia="宋体" w:cs="Times New Roman"/>
          <w:sz w:val="21"/>
          <w14:ligatures w14:val="none"/>
        </w:rPr>
        <w:t>，变量</w:t>
      </w:r>
      <w:r>
        <w:rPr>
          <w:rFonts w:ascii="Calibri" w:hAnsi="Calibri" w:eastAsia="宋体" w:cs="Times New Roman"/>
          <w:position w:val="-12"/>
          <w:sz w:val="21"/>
          <w14:ligatures w14:val="none"/>
        </w:rPr>
        <w:object>
          <v:shape id="_x0000_i1025" o:spt="75" alt="eqId76142c0f634b7f5201012f6d4cb6871f" type="#_x0000_t75" style="height:16.9pt;width:59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;变量</w:t>
      </w:r>
      <w:r>
        <w:rPr>
          <w:rFonts w:ascii="Calibri" w:hAnsi="Calibri" w:eastAsia="宋体" w:cs="Times New Roman"/>
          <w:position w:val="-12"/>
          <w:sz w:val="21"/>
          <w14:ligatures w14:val="none"/>
        </w:rPr>
        <w:object>
          <v:shape id="_x0000_i1026" o:spt="75" alt="eqId76142c0f634b7f5201012f6d4cb6871f" type="#_x0000_t75" style="height:16.9pt;width:59.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，通过观察得到如表所示的数据：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D1A2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restart"/>
          </w:tcPr>
          <w:p w14:paraId="149057CA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A</w:t>
            </w:r>
          </w:p>
        </w:tc>
        <w:tc>
          <w:tcPr>
            <w:tcW w:w="6392" w:type="dxa"/>
            <w:gridSpan w:val="3"/>
          </w:tcPr>
          <w:p w14:paraId="0084AE2A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B</w:t>
            </w:r>
          </w:p>
        </w:tc>
      </w:tr>
      <w:tr w14:paraId="3DD6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</w:tcPr>
          <w:p w14:paraId="6EC5403B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</w:p>
        </w:tc>
        <w:tc>
          <w:tcPr>
            <w:tcW w:w="2130" w:type="dxa"/>
          </w:tcPr>
          <w:p w14:paraId="203E019C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7" o:spt="75" alt="eqId76142c0f634b7f5201012f6d4cb6871f" type="#_x0000_t75" style="height:15.95pt;width:11.6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 w14:paraId="05D07FFD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8" o:spt="75" alt="eqId76142c0f634b7f5201012f6d4cb6871f" type="#_x0000_t75" style="height:15.95pt;width:13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4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 w14:paraId="2ACAB6DF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总计</w:t>
            </w:r>
          </w:p>
        </w:tc>
      </w:tr>
      <w:tr w14:paraId="5E13E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62FD297D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9" o:spt="75" alt="eqId76142c0f634b7f5201012f6d4cb6871f" type="#_x0000_t75" style="height:15.95pt;width:11.6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6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 w14:paraId="252D8BC9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a</w:t>
            </w:r>
          </w:p>
        </w:tc>
        <w:tc>
          <w:tcPr>
            <w:tcW w:w="2131" w:type="dxa"/>
          </w:tcPr>
          <w:p w14:paraId="5F585CA8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b</w:t>
            </w:r>
          </w:p>
        </w:tc>
        <w:tc>
          <w:tcPr>
            <w:tcW w:w="2131" w:type="dxa"/>
          </w:tcPr>
          <w:p w14:paraId="5BE7938A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a+b</w:t>
            </w:r>
          </w:p>
        </w:tc>
      </w:tr>
      <w:tr w14:paraId="33F4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3DA9B94B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30" o:spt="75" alt="eqId76142c0f634b7f5201012f6d4cb6871f" type="#_x0000_t75" style="height:15.95pt;width:13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7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 w14:paraId="33364A5D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c</w:t>
            </w:r>
          </w:p>
        </w:tc>
        <w:tc>
          <w:tcPr>
            <w:tcW w:w="2131" w:type="dxa"/>
          </w:tcPr>
          <w:p w14:paraId="44CF9CA3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d</w:t>
            </w:r>
          </w:p>
        </w:tc>
        <w:tc>
          <w:tcPr>
            <w:tcW w:w="2131" w:type="dxa"/>
          </w:tcPr>
          <w:p w14:paraId="6BB904A9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c+d</w:t>
            </w:r>
          </w:p>
        </w:tc>
      </w:tr>
      <w:tr w14:paraId="67544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D91ED3F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总计</w:t>
            </w:r>
          </w:p>
        </w:tc>
        <w:tc>
          <w:tcPr>
            <w:tcW w:w="2130" w:type="dxa"/>
          </w:tcPr>
          <w:p w14:paraId="72476A64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a+c</w:t>
            </w:r>
          </w:p>
        </w:tc>
        <w:tc>
          <w:tcPr>
            <w:tcW w:w="2131" w:type="dxa"/>
          </w:tcPr>
          <w:p w14:paraId="38C97CBC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:u w:val="single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1"/>
                <w:szCs w:val="20"/>
                <w:u w:val="single"/>
                <w14:ligatures w14:val="none"/>
              </w:rPr>
              <w:t>b+d</w:t>
            </w:r>
          </w:p>
        </w:tc>
        <w:tc>
          <w:tcPr>
            <w:tcW w:w="2131" w:type="dxa"/>
          </w:tcPr>
          <w:p w14:paraId="24C2FC42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n=a+b+c+d</w:t>
            </w:r>
          </w:p>
        </w:tc>
      </w:tr>
    </w:tbl>
    <w:p w14:paraId="47F57313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31" o:spt="75" alt="eqIde7dc70b5e1ba847b9918a50f67bfbe8f" type="#_x0000_t75" style="height:15.65pt;width:14.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的计算公式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：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32" o:spt="75" alt="eqIde7dc70b5e1ba847b9918a50f67bfbe8f" type="#_x0000_t75" style="height:15.65pt;width:22.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Calibri" w:hAnsi="Calibri" w:eastAsia="宋体" w:cs="Times New Roman"/>
          <w:position w:val="-28"/>
          <w:sz w:val="21"/>
          <w:u w:val="single"/>
          <w:lang w:val="en-US" w:eastAsia="zh-CN"/>
          <w14:ligatures w14:val="none"/>
        </w:rPr>
        <w:object>
          <v:shape id="_x0000_i1040" o:spt="75" type="#_x0000_t75" style="height:35pt;width:13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f"/>
            <w10:wrap type="none"/>
            <w10:anchorlock/>
          </v:shape>
          <o:OLEObject Type="Embed" ProgID="Equation.DSMT4" ShapeID="_x0000_i1040" DrawAspect="Content" ObjectID="_1468075733" r:id="rId22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.</w:t>
      </w:r>
    </w:p>
    <w:p w14:paraId="2E4C8A8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33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5" o:title="eqId953e89f7e797bf8fe9ff31e0d2f66728"/>
            <o:lock v:ext="edit" aspectratio="t"/>
            <w10:wrap type="none"/>
            <w10:anchorlock/>
          </v:shape>
          <o:OLEObject Type="Embed" ProgID="Equation.DSMT4" ShapeID="_x0000_i1033" DrawAspect="Content" ObjectID="_1468075734" r:id="rId2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越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</w:t>
      </w:r>
      <w:r>
        <w:rPr>
          <w:rFonts w:ascii="Calibri" w:hAnsi="Calibri" w:eastAsia="宋体" w:cs="Times New Roman"/>
          <w:color w:val="0000FF"/>
          <w:sz w:val="21"/>
          <w:u w:val="single"/>
          <w14:ligatures w14:val="none"/>
        </w:rPr>
        <w:t>小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</w:t>
      </w:r>
      <w:r>
        <w:rPr>
          <w:rFonts w:ascii="Calibri" w:hAnsi="Calibri" w:eastAsia="宋体" w:cs="Times New Roman"/>
          <w:sz w:val="21"/>
          <w14:ligatures w14:val="none"/>
        </w:rPr>
        <w:t>说明变量之间越独立，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4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5" o:title="eqId953e89f7e797bf8fe9ff31e0d2f66728"/>
            <o:lock v:ext="edit" aspectratio="t"/>
            <w10:wrap type="none"/>
            <w10:anchorlock/>
          </v:shape>
          <o:OLEObject Type="Embed" ProgID="Equation.DSMT4" ShapeID="_x0000_i1034" DrawAspect="Content" ObjectID="_1468075735" r:id="rId2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越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</w:t>
      </w:r>
      <w:r>
        <w:rPr>
          <w:rFonts w:ascii="Calibri" w:hAnsi="Calibri" w:eastAsia="宋体" w:cs="Times New Roman"/>
          <w:color w:val="0000FF"/>
          <w:sz w:val="21"/>
          <w:u w:val="single"/>
          <w14:ligatures w14:val="none"/>
        </w:rPr>
        <w:t>大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</w:t>
      </w:r>
      <w:r>
        <w:rPr>
          <w:rFonts w:ascii="Calibri" w:hAnsi="Calibri" w:eastAsia="宋体" w:cs="Times New Roman"/>
          <w:sz w:val="21"/>
          <w14:ligatures w14:val="none"/>
        </w:rPr>
        <w:t>说明变量之间越相关</w:t>
      </w:r>
      <w:r>
        <w:rPr>
          <w:rFonts w:hint="eastAsia" w:ascii="Calibri" w:hAnsi="Calibri" w:eastAsia="宋体" w:cs="Times New Roman"/>
          <w:sz w:val="21"/>
          <w14:ligatures w14:val="none"/>
        </w:rPr>
        <w:t>。</w:t>
      </w:r>
    </w:p>
    <w:p w14:paraId="496B22BA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3.在统计中，用以下结果对变量的独立性进行判断</w:t>
      </w:r>
    </w:p>
    <w:p w14:paraId="34DFB216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</w:pP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提出假设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：变量A，B独立.</w:t>
      </w:r>
    </w:p>
    <w:p w14:paraId="2F2AA78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1</w:t>
      </w:r>
      <w:r>
        <w:rPr>
          <w:rFonts w:hint="eastAsia" w:ascii="Calibri" w:hAnsi="Calibri" w:eastAsia="宋体" w:cs="Times New Roman"/>
          <w:sz w:val="21"/>
          <w14:ligatures w14:val="none"/>
        </w:rPr>
        <w:t>）</w:t>
      </w:r>
      <w:r>
        <w:rPr>
          <w:rFonts w:ascii="Calibri" w:hAnsi="Calibri" w:eastAsia="宋体" w:cs="Times New Roman"/>
          <w:position w:val="-16"/>
          <w:sz w:val="21"/>
          <w14:ligatures w14:val="none"/>
        </w:rPr>
        <w:object>
          <v:shape id="_x0000_i1045" o:spt="75" alt="eqIde7dc70b5e1ba847b9918a50f67bfbe8f" type="#_x0000_t75" style="height:19.15pt;width:74.1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DSMT4" ShapeID="_x0000_i1045" DrawAspect="Content" ObjectID="_1468075736" r:id="rId27">
            <o:LockedField>false</o:LockedField>
          </o:OLEObject>
        </w:object>
      </w:r>
      <w:r>
        <w:rPr>
          <w:rFonts w:hint="eastAsia" w:ascii="Calibri" w:hAnsi="Calibri" w:eastAsia="宋体" w:cs="Times New Roman"/>
          <w:color w:val="0000FF"/>
          <w:position w:val="-10"/>
          <w:sz w:val="21"/>
          <w:u w:val="single"/>
          <w:lang w:val="en-US" w:eastAsia="zh-CN"/>
          <w14:ligatures w14:val="none"/>
        </w:rPr>
        <w:t xml:space="preserve"> 0.01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我们通常认为这种小概率事件在一次试验中是很难发生的，即假设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Times New Roman" w:hAnsi="Times New Roman" w:eastAsia="宋体" w:cs="Times New Roman"/>
          <w:sz w:val="21"/>
          <w:vertAlign w:val="baseline"/>
          <w:lang w:val="en-US" w:eastAsia="zh-CN"/>
          <w14:ligatures w14:val="none"/>
        </w:rPr>
        <w:t>不成立，故可判断</w:t>
      </w:r>
      <w:r>
        <w:rPr>
          <w:rFonts w:hint="eastAsia" w:ascii="Calibri" w:hAnsi="Calibri" w:eastAsia="宋体" w:cs="Times New Roman"/>
          <w:sz w:val="21"/>
          <w14:ligatures w14:val="none"/>
        </w:rPr>
        <w:t>变量A,B有关联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这种判断犯错误的可能性为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1  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%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653B977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2</w:t>
      </w:r>
      <w:r>
        <w:rPr>
          <w:rFonts w:hint="eastAsia" w:ascii="Calibri" w:hAnsi="Calibri" w:eastAsia="宋体" w:cs="Times New Roman"/>
          <w:sz w:val="21"/>
          <w14:ligatures w14:val="none"/>
        </w:rPr>
        <w:t>）</w:t>
      </w:r>
      <w:r>
        <w:rPr>
          <w:rFonts w:ascii="Calibri" w:hAnsi="Calibri" w:eastAsia="宋体" w:cs="Times New Roman"/>
          <w:position w:val="-16"/>
          <w:sz w:val="21"/>
          <w14:ligatures w14:val="none"/>
        </w:rPr>
        <w:object>
          <v:shape id="_x0000_i1037" o:spt="75" alt="eqIde7dc70b5e1ba847b9918a50f67bfbe8f" type="#_x0000_t75" style="height:19.15pt;width:73.2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rPr>
          <w:rFonts w:hint="eastAsia" w:ascii="Calibri" w:hAnsi="Calibri" w:eastAsia="宋体" w:cs="Times New Roman"/>
          <w:color w:val="0000FF"/>
          <w:position w:val="-10"/>
          <w:sz w:val="21"/>
          <w:u w:val="single"/>
          <w:lang w:val="en-US" w:eastAsia="zh-CN"/>
          <w14:ligatures w14:val="none"/>
        </w:rPr>
        <w:t xml:space="preserve"> 0.05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我们通常认为这种小概率事件在一次试验中是很难发生的，即假设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Times New Roman" w:hAnsi="Times New Roman" w:eastAsia="宋体" w:cs="Times New Roman"/>
          <w:sz w:val="21"/>
          <w:vertAlign w:val="baseline"/>
          <w:lang w:val="en-US" w:eastAsia="zh-CN"/>
          <w14:ligatures w14:val="none"/>
        </w:rPr>
        <w:t>不成立，</w:t>
      </w:r>
      <w:r>
        <w:rPr>
          <w:rFonts w:hint="eastAsia" w:ascii="Times New Roman" w:hAnsi="Times New Roman" w:eastAsia="宋体" w:cs="Times New Roman"/>
          <w:sz w:val="21"/>
          <w:vertAlign w:val="baseline"/>
          <w:lang w:val="en-US" w:eastAsia="zh-CN"/>
          <w14:ligatures w14:val="none"/>
        </w:rPr>
        <w:t>故可判断</w:t>
      </w:r>
      <w:r>
        <w:rPr>
          <w:rFonts w:hint="eastAsia" w:ascii="Calibri" w:hAnsi="Calibri" w:eastAsia="宋体" w:cs="Times New Roman"/>
          <w:sz w:val="21"/>
          <w14:ligatures w14:val="none"/>
        </w:rPr>
        <w:t>变量A,B有关联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这种判断犯错误的可能性为</w:t>
      </w:r>
      <w:r>
        <w:rPr>
          <w:rFonts w:hint="eastAsia" w:ascii="Calibri" w:hAnsi="Calibri" w:eastAsia="宋体" w:cs="Times New Roman"/>
          <w:color w:val="0000FF"/>
          <w:sz w:val="21"/>
          <w:u w:val="single"/>
          <w:lang w:val="en-US" w:eastAsia="zh-CN"/>
          <w14:ligatures w14:val="none"/>
        </w:rPr>
        <w:t xml:space="preserve"> 5  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%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368CFFBA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3</w:t>
      </w:r>
      <w:r>
        <w:rPr>
          <w:rFonts w:hint="eastAsia" w:ascii="Calibri" w:hAnsi="Calibri" w:eastAsia="宋体" w:cs="Times New Roman"/>
          <w:sz w:val="21"/>
          <w14:ligatures w14:val="none"/>
        </w:rPr>
        <w:t>）当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41" o:spt="75" alt="eqIde7dc70b5e1ba847b9918a50f67bfbe8f" type="#_x0000_t75" style="height:15.65pt;width:23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DSMT4" ShapeID="_x0000_i1041" DrawAspect="Content" ObjectID="_1468075738" r:id="rId31">
            <o:LockedField>false</o:LockedField>
          </o:OLEObject>
        </w:object>
      </w:r>
      <w:r>
        <w:rPr>
          <w:rFonts w:hint="eastAsia" w:ascii="Calibri" w:hAnsi="Calibri" w:eastAsia="宋体" w:cs="Times New Roman"/>
          <w:color w:val="0000FF"/>
          <w:position w:val="-10"/>
          <w:sz w:val="21"/>
          <w:u w:val="single"/>
          <w:lang w:val="en-US" w:eastAsia="zh-CN"/>
          <w14:ligatures w14:val="none"/>
        </w:rPr>
        <w:t xml:space="preserve"> 2.706 </w:t>
      </w:r>
      <w:r>
        <w:rPr>
          <w:rFonts w:hint="eastAsia" w:ascii="Calibri" w:hAnsi="Calibri" w:eastAsia="宋体" w:cs="Times New Roman"/>
          <w:sz w:val="21"/>
          <w14:ligatures w14:val="none"/>
        </w:rPr>
        <w:t>时，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我们不能否定假设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即</w:t>
      </w:r>
      <w:r>
        <w:rPr>
          <w:rFonts w:hint="eastAsia" w:ascii="Calibri" w:hAnsi="Calibri" w:eastAsia="宋体" w:cs="Times New Roman"/>
          <w:sz w:val="21"/>
          <w14:ligatures w14:val="none"/>
        </w:rPr>
        <w:t>可以认为变量A,B</w:t>
      </w:r>
      <w:r>
        <w:rPr>
          <w:rFonts w:hint="eastAsia" w:ascii="Calibri" w:hAnsi="Calibri" w:eastAsia="宋体" w:cs="Times New Roman"/>
          <w:sz w:val="21"/>
          <w:u w:val="none"/>
          <w:lang w:val="en-US" w:eastAsia="zh-CN"/>
          <w14:ligatures w14:val="none"/>
        </w:rPr>
        <w:t>独立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.</w:t>
      </w:r>
    </w:p>
    <w:p w14:paraId="2E136E66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4.应用独立性检验解决实际问题的大致步骤</w:t>
      </w:r>
    </w:p>
    <w:p w14:paraId="3A7F1AC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（1）提出假设：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Calibri" w:hAnsi="Calibri" w:eastAsia="宋体" w:cs="Times New Roman"/>
          <w:sz w:val="21"/>
          <w14:ligatures w14:val="none"/>
        </w:rPr>
        <w:t>独立，并给出在问题中的解释；</w:t>
      </w:r>
    </w:p>
    <w:p w14:paraId="3932B7A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（2）根据抽样数据整理出2×2列联表，计算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9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5" o:title="eqId953e89f7e797bf8fe9ff31e0d2f66728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的值；</w:t>
      </w:r>
    </w:p>
    <w:p w14:paraId="594E7524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（3）根据检验规则得出推断结论．</w:t>
      </w:r>
    </w:p>
    <w:p w14:paraId="781F712F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0DDAB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07631E82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1C5"/>
    <w:rsid w:val="004540D0"/>
    <w:rsid w:val="00D0045D"/>
    <w:rsid w:val="00D351C5"/>
    <w:rsid w:val="00F91D42"/>
    <w:rsid w:val="058E57AB"/>
    <w:rsid w:val="132518D3"/>
    <w:rsid w:val="7B030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4" Type="http://schemas.openxmlformats.org/officeDocument/2006/relationships/fontTable" Target="fontTable.xml"/><Relationship Id="rId33" Type="http://schemas.openxmlformats.org/officeDocument/2006/relationships/oleObject" Target="embeddings/oleObject15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oleObject" Target="embeddings/oleObject6.bin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412</Characters>
  <Lines>32</Lines>
  <Paragraphs>38</Paragraphs>
  <TotalTime>76</TotalTime>
  <ScaleCrop>false</ScaleCrop>
  <LinksUpToDate>false</LinksUpToDate>
  <CharactersWithSpaces>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2025-04-02T04:34:00Z</dcterms:created>
  <dc:creator>路阳 梁</dc:creator>
  <cp:lastModifiedBy>小明同学</cp:lastModifiedBy>
  <dcterms:modified xsi:type="dcterms:W3CDTF">2026-03-20T05:41:28Z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4011860938ED47E6A766276035703CFB_12</vt:lpwstr>
  </property>
</Properties>
</file>